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ind w:firstLine="0" w:firstLineChars="0"/>
        <w:jc w:val="center"/>
        <w:rPr>
          <w:rFonts w:hint="default" w:ascii="Times New Roman" w:hAnsi="Times New Roman" w:eastAsia="黑体" w:cs="Times New Roman"/>
          <w:color w:val="FF0000"/>
          <w:kern w:val="0"/>
          <w:sz w:val="28"/>
          <w:szCs w:val="20"/>
          <w:lang w:val="en-US" w:eastAsia="zh-CN"/>
        </w:rPr>
      </w:pPr>
      <w:r>
        <w:rPr>
          <w:rFonts w:hint="eastAsia" w:ascii="Times New Roman" w:hAnsi="Times New Roman" w:eastAsia="黑体" w:cs="Times New Roman"/>
          <w:bCs/>
          <w:kern w:val="0"/>
          <w:sz w:val="28"/>
          <w:lang w:val="en-US" w:eastAsia="zh-CN"/>
        </w:rPr>
        <w:t>禄丰市年产10万吨/年电池级高纯硫酸锰项目</w:t>
      </w:r>
    </w:p>
    <w:p>
      <w:pPr>
        <w:keepNext w:val="0"/>
        <w:keepLines w:val="0"/>
        <w:pageBreakBefore w:val="0"/>
        <w:kinsoku/>
        <w:wordWrap/>
        <w:overflowPunct/>
        <w:topLinePunct w:val="0"/>
        <w:autoSpaceDE/>
        <w:autoSpaceDN/>
        <w:bidi w:val="0"/>
        <w:adjustRightInd/>
        <w:snapToGrid/>
        <w:spacing w:line="540" w:lineRule="exact"/>
        <w:ind w:firstLine="0" w:firstLineChars="0"/>
        <w:jc w:val="left"/>
        <w:textAlignment w:val="auto"/>
        <w:rPr>
          <w:rFonts w:hint="default" w:ascii="Times New Roman" w:hAnsi="Times New Roman" w:eastAsia="方正黑体简体" w:cs="Times New Roman"/>
          <w:bCs/>
          <w:color w:val="FF0000"/>
          <w:kern w:val="0"/>
          <w:sz w:val="28"/>
          <w:szCs w:val="28"/>
          <w:lang w:val="en-US" w:eastAsia="zh-CN"/>
        </w:rPr>
      </w:pPr>
      <w:r>
        <w:rPr>
          <w:rFonts w:ascii="Times New Roman" w:hAnsi="Times New Roman" w:eastAsia="方正黑体简体" w:cs="Times New Roman"/>
          <w:bCs/>
          <w:kern w:val="0"/>
          <w:sz w:val="28"/>
          <w:szCs w:val="28"/>
        </w:rPr>
        <w:t>一、项目类型</w:t>
      </w:r>
      <w:r>
        <w:rPr>
          <w:rFonts w:hint="eastAsia" w:ascii="Times New Roman" w:hAnsi="Times New Roman" w:eastAsia="方正黑体简体" w:cs="Times New Roman"/>
          <w:bCs/>
          <w:kern w:val="0"/>
          <w:sz w:val="28"/>
          <w:szCs w:val="28"/>
          <w:lang w:eastAsia="zh-CN"/>
        </w:rPr>
        <w:t>：</w:t>
      </w:r>
      <w:r>
        <w:rPr>
          <w:rFonts w:hint="eastAsia" w:ascii="Times New Roman" w:hAnsi="Times New Roman" w:eastAsia="方正黑体简体" w:cs="Times New Roman"/>
          <w:bCs/>
          <w:kern w:val="0"/>
          <w:sz w:val="28"/>
          <w:szCs w:val="28"/>
          <w:lang w:val="en-US" w:eastAsia="zh-CN"/>
        </w:rPr>
        <w:t>用地类项目</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Times New Roman" w:hAnsi="Times New Roman" w:eastAsia="方正仿宋简体" w:cs="Times New Roman"/>
          <w:color w:val="FF0000"/>
          <w:kern w:val="0"/>
          <w:sz w:val="28"/>
          <w:szCs w:val="28"/>
          <w:lang w:val="en-US" w:eastAsia="zh-CN"/>
        </w:rPr>
      </w:pPr>
      <w:r>
        <w:rPr>
          <w:rFonts w:ascii="Times New Roman" w:hAnsi="Times New Roman" w:eastAsia="方正仿宋简体" w:cs="Times New Roman"/>
          <w:kern w:val="0"/>
          <w:sz w:val="28"/>
          <w:szCs w:val="28"/>
        </w:rPr>
        <w:t>行业类别：</w:t>
      </w:r>
      <w:r>
        <w:rPr>
          <w:rFonts w:hint="eastAsia" w:ascii="Times New Roman" w:hAnsi="Times New Roman" w:eastAsia="方正仿宋简体" w:cs="Times New Roman"/>
          <w:kern w:val="0"/>
          <w:sz w:val="28"/>
          <w:szCs w:val="28"/>
          <w:lang w:val="en-US" w:eastAsia="zh-CN"/>
        </w:rPr>
        <w:t>制造业</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Times New Roman" w:hAnsi="Times New Roman" w:eastAsia="方正仿宋简体" w:cs="Times New Roman"/>
          <w:color w:val="FF0000"/>
          <w:kern w:val="0"/>
          <w:sz w:val="28"/>
          <w:szCs w:val="28"/>
          <w:lang w:val="en-US" w:eastAsia="zh-CN"/>
        </w:rPr>
      </w:pPr>
      <w:r>
        <w:rPr>
          <w:rFonts w:ascii="Times New Roman" w:hAnsi="Times New Roman" w:eastAsia="方正仿宋简体" w:cs="Times New Roman"/>
          <w:sz w:val="28"/>
          <w:szCs w:val="28"/>
        </w:rPr>
        <w:t>产业类别：</w:t>
      </w:r>
      <w:r>
        <w:rPr>
          <w:rFonts w:hint="eastAsia" w:ascii="Times New Roman" w:hAnsi="Times New Roman" w:eastAsia="方正仿宋简体" w:cs="Times New Roman"/>
          <w:sz w:val="28"/>
          <w:szCs w:val="28"/>
          <w:lang w:val="en-US" w:eastAsia="zh-CN"/>
        </w:rPr>
        <w:t>绿色化工</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0" w:firstLineChars="0"/>
        <w:jc w:val="left"/>
        <w:textAlignment w:val="auto"/>
        <w:rPr>
          <w:rFonts w:ascii="Times New Roman" w:hAnsi="Times New Roman" w:eastAsia="方正黑体简体" w:cs="Times New Roman"/>
          <w:sz w:val="28"/>
          <w:szCs w:val="28"/>
        </w:rPr>
      </w:pPr>
      <w:r>
        <w:rPr>
          <w:rFonts w:hint="eastAsia" w:ascii="Times New Roman" w:hAnsi="Times New Roman" w:eastAsia="方正黑体简体" w:cs="Times New Roman"/>
          <w:kern w:val="2"/>
          <w:sz w:val="28"/>
          <w:szCs w:val="28"/>
          <w:lang w:val="en-US" w:eastAsia="zh-CN" w:bidi="ar-SA"/>
        </w:rPr>
        <w:t>二、</w:t>
      </w:r>
      <w:r>
        <w:rPr>
          <w:rFonts w:ascii="Times New Roman" w:hAnsi="Times New Roman" w:eastAsia="方正黑体简体" w:cs="Times New Roman"/>
          <w:sz w:val="28"/>
          <w:szCs w:val="28"/>
        </w:rPr>
        <w:t>项目概况</w:t>
      </w:r>
    </w:p>
    <w:p>
      <w:pPr>
        <w:keepNext w:val="0"/>
        <w:keepLines w:val="0"/>
        <w:pageBreakBefore w:val="0"/>
        <w:widowControl w:val="0"/>
        <w:kinsoku/>
        <w:wordWrap/>
        <w:overflowPunct/>
        <w:topLinePunct w:val="0"/>
        <w:autoSpaceDE/>
        <w:autoSpaceDN/>
        <w:bidi w:val="0"/>
        <w:adjustRightInd/>
        <w:snapToGrid/>
        <w:spacing w:line="530" w:lineRule="exact"/>
        <w:ind w:firstLine="280" w:firstLineChars="100"/>
        <w:jc w:val="left"/>
        <w:textAlignment w:val="auto"/>
        <w:rPr>
          <w:rFonts w:hint="default" w:eastAsia="方正仿宋简体"/>
          <w:highlight w:val="none"/>
          <w:lang w:val="en-US" w:eastAsia="zh-CN"/>
        </w:rPr>
      </w:pPr>
      <w:r>
        <w:rPr>
          <w:rFonts w:ascii="Times New Roman" w:hAnsi="Times New Roman" w:eastAsia="方正仿宋简体" w:cs="Times New Roman"/>
          <w:sz w:val="28"/>
          <w:szCs w:val="28"/>
        </w:rPr>
        <w:t>（一）投资估算</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5.5亿元人民币，企业自筹</w:t>
      </w:r>
    </w:p>
    <w:p>
      <w:pPr>
        <w:keepNext w:val="0"/>
        <w:keepLines w:val="0"/>
        <w:pageBreakBefore w:val="0"/>
        <w:widowControl w:val="0"/>
        <w:kinsoku/>
        <w:wordWrap/>
        <w:overflowPunct/>
        <w:topLinePunct w:val="0"/>
        <w:autoSpaceDE/>
        <w:autoSpaceDN/>
        <w:bidi w:val="0"/>
        <w:adjustRightInd/>
        <w:snapToGrid/>
        <w:spacing w:line="592" w:lineRule="exact"/>
        <w:ind w:left="0" w:leftChars="0" w:firstLine="280" w:firstLineChars="100"/>
        <w:jc w:val="left"/>
        <w:textAlignment w:val="auto"/>
        <w:rPr>
          <w:rFonts w:hint="eastAsia" w:ascii="Times New Roman" w:hAnsi="Times New Roman" w:eastAsia="方正仿宋简体" w:cs="Times New Roman"/>
          <w:sz w:val="28"/>
          <w:szCs w:val="28"/>
        </w:rPr>
      </w:pPr>
      <w:r>
        <w:rPr>
          <w:rFonts w:ascii="Times New Roman" w:hAnsi="Times New Roman" w:eastAsia="方正仿宋简体" w:cs="Times New Roman"/>
          <w:sz w:val="28"/>
          <w:szCs w:val="28"/>
        </w:rPr>
        <w:t>（二）建设内容：</w:t>
      </w:r>
      <w:r>
        <w:rPr>
          <w:rFonts w:hint="eastAsia" w:ascii="Times New Roman" w:hAnsi="Times New Roman" w:eastAsia="方正仿宋简体" w:cs="Times New Roman"/>
          <w:sz w:val="28"/>
          <w:szCs w:val="28"/>
        </w:rPr>
        <w:t>电池级高纯硫酸锰（MnSO4·H2O）主要用于制备锂电池正极三元材料(镍钴锰酸锂)前驱体，也是制备电池级高纯四氧化三锰和高纯二氧化锰的基础原料，并最终应用于新能源汽车、储能等领域。随着新能源和储能产业的发展，对电池硫酸锰有较大的需求。本项目采用四川大学/国家烟气脱硫工程技术研究中心开发的利用烟气二氧化硫制备电池高纯硫酸锰的新工艺，具有工艺流程短、除杂工艺简单、工艺过程无其它有机添加剂、产品纯度高等特点，显著降低生产成本，减少污染物排放。</w:t>
      </w:r>
    </w:p>
    <w:p>
      <w:pPr>
        <w:keepNext w:val="0"/>
        <w:keepLines w:val="0"/>
        <w:pageBreakBefore w:val="0"/>
        <w:widowControl w:val="0"/>
        <w:kinsoku/>
        <w:wordWrap/>
        <w:overflowPunct/>
        <w:topLinePunct w:val="0"/>
        <w:autoSpaceDE/>
        <w:autoSpaceDN/>
        <w:bidi w:val="0"/>
        <w:adjustRightInd/>
        <w:snapToGrid/>
        <w:spacing w:line="592" w:lineRule="exact"/>
        <w:ind w:firstLine="560" w:firstLineChars="200"/>
        <w:jc w:val="left"/>
        <w:textAlignment w:val="auto"/>
        <w:rPr>
          <w:rFonts w:ascii="Times New Roman" w:hAnsi="Times New Roman" w:eastAsia="方正仿宋简体" w:cs="Times New Roman"/>
          <w:color w:val="FF0000"/>
          <w:sz w:val="28"/>
          <w:szCs w:val="28"/>
        </w:rPr>
      </w:pPr>
      <w:r>
        <w:rPr>
          <w:rFonts w:hint="eastAsia" w:ascii="Times New Roman" w:hAnsi="Times New Roman" w:eastAsia="方正仿宋简体" w:cs="Times New Roman"/>
          <w:color w:val="auto"/>
          <w:sz w:val="28"/>
          <w:szCs w:val="28"/>
        </w:rPr>
        <w:t>该项目利用烟气二氧化硫制备电池高纯硫酸锰的新工艺生产电池级高纯硫酸（MnSO4·H2O），项目规模为年产10万吨电池级高纯硫酸锰，总投资约5</w:t>
      </w:r>
      <w:r>
        <w:rPr>
          <w:rFonts w:hint="eastAsia" w:ascii="Times New Roman" w:hAnsi="Times New Roman" w:eastAsia="方正仿宋简体" w:cs="Times New Roman"/>
          <w:color w:val="auto"/>
          <w:sz w:val="28"/>
          <w:szCs w:val="28"/>
          <w:lang w:val="en-US" w:eastAsia="zh-CN"/>
        </w:rPr>
        <w:t>.5</w:t>
      </w:r>
      <w:r>
        <w:rPr>
          <w:rFonts w:hint="eastAsia" w:ascii="Times New Roman" w:hAnsi="Times New Roman" w:eastAsia="方正仿宋简体" w:cs="Times New Roman"/>
          <w:color w:val="auto"/>
          <w:sz w:val="28"/>
          <w:szCs w:val="28"/>
        </w:rPr>
        <w:t>亿元，年产值 7亿元，占地 100 亩，可带动就业人员 200 余人。</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Times New Roman" w:hAnsi="Times New Roman" w:eastAsia="方正仿宋简体" w:cs="Times New Roman"/>
          <w:sz w:val="28"/>
          <w:szCs w:val="28"/>
          <w:highlight w:val="none"/>
          <w:lang w:val="en-US" w:eastAsia="zh-CN"/>
        </w:rPr>
      </w:pPr>
      <w:r>
        <w:rPr>
          <w:rFonts w:ascii="Times New Roman" w:hAnsi="Times New Roman" w:eastAsia="方正仿宋简体" w:cs="Times New Roman"/>
          <w:sz w:val="28"/>
          <w:szCs w:val="28"/>
          <w:highlight w:val="none"/>
        </w:rPr>
        <w:t>（三）项目选址：</w:t>
      </w:r>
      <w:r>
        <w:rPr>
          <w:rFonts w:hint="eastAsia" w:ascii="Times New Roman" w:hAnsi="Times New Roman" w:eastAsia="方正仿宋简体" w:cs="Times New Roman"/>
          <w:sz w:val="28"/>
          <w:szCs w:val="28"/>
          <w:highlight w:val="none"/>
          <w:lang w:val="en-US" w:eastAsia="zh-CN"/>
        </w:rPr>
        <w:t>勤丰镇</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三、项目优势</w:t>
      </w:r>
    </w:p>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i w:val="0"/>
          <w:iCs w:val="0"/>
          <w:caps w:val="0"/>
          <w:color w:val="auto"/>
          <w:spacing w:val="0"/>
          <w:sz w:val="28"/>
          <w:szCs w:val="28"/>
          <w:shd w:val="clear" w:fill="FFFFFF"/>
          <w:lang w:eastAsia="zh-CN"/>
        </w:rPr>
      </w:pPr>
      <w:r>
        <w:rPr>
          <w:rFonts w:hint="default" w:ascii="Times New Roman" w:hAnsi="Times New Roman" w:eastAsia="方正仿宋简体" w:cs="Times New Roman"/>
          <w:i w:val="0"/>
          <w:iCs w:val="0"/>
          <w:caps w:val="0"/>
          <w:color w:val="auto"/>
          <w:spacing w:val="0"/>
          <w:sz w:val="28"/>
          <w:szCs w:val="28"/>
          <w:shd w:val="clear" w:fill="FFFFFF"/>
          <w:lang w:val="en-US" w:eastAsia="zh-CN"/>
        </w:rPr>
        <w:t>1.</w:t>
      </w:r>
      <w:r>
        <w:rPr>
          <w:rFonts w:hint="default" w:ascii="Times New Roman" w:hAnsi="Times New Roman" w:eastAsia="方正仿宋简体" w:cs="Times New Roman"/>
          <w:i w:val="0"/>
          <w:iCs w:val="0"/>
          <w:caps w:val="0"/>
          <w:color w:val="auto"/>
          <w:spacing w:val="0"/>
          <w:sz w:val="28"/>
          <w:szCs w:val="28"/>
          <w:shd w:val="clear" w:fill="FFFFFF"/>
        </w:rPr>
        <w:t>‌高纯度和优异的电化学性能‌：电池级硫酸锰具有纯度高、电化学性能优异、比电容量高、粒径均匀、内阻低、循环稳定性好等优点‌。这些特性使得电池级硫酸锰在锂电池正极材料中表现出色，能够提高电池的安全性和稳定性，同时降低材料成本</w:t>
      </w:r>
      <w:r>
        <w:rPr>
          <w:rFonts w:hint="default" w:ascii="Times New Roman" w:hAnsi="Times New Roman" w:eastAsia="方正仿宋简体" w:cs="Times New Roman"/>
          <w:i w:val="0"/>
          <w:iCs w:val="0"/>
          <w:caps w:val="0"/>
          <w:color w:val="auto"/>
          <w:spacing w:val="0"/>
          <w:sz w:val="28"/>
          <w:szCs w:val="28"/>
          <w:shd w:val="clear" w:fill="FFFFFF"/>
          <w:lang w:eastAsia="zh-CN"/>
        </w:rPr>
        <w:t>。</w:t>
      </w:r>
    </w:p>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i w:val="0"/>
          <w:iCs w:val="0"/>
          <w:caps w:val="0"/>
          <w:color w:val="auto"/>
          <w:spacing w:val="0"/>
          <w:sz w:val="28"/>
          <w:szCs w:val="28"/>
          <w:shd w:val="clear" w:fill="FFFFFF"/>
          <w:lang w:eastAsia="zh-CN"/>
        </w:rPr>
      </w:pPr>
      <w:r>
        <w:rPr>
          <w:rFonts w:hint="default" w:ascii="Times New Roman" w:hAnsi="Times New Roman" w:eastAsia="方正仿宋简体" w:cs="Times New Roman"/>
          <w:i w:val="0"/>
          <w:iCs w:val="0"/>
          <w:caps w:val="0"/>
          <w:color w:val="auto"/>
          <w:spacing w:val="0"/>
          <w:sz w:val="28"/>
          <w:szCs w:val="28"/>
          <w:shd w:val="clear" w:fill="FFFFFF"/>
          <w:lang w:val="en-US" w:eastAsia="zh-CN"/>
        </w:rPr>
        <w:t>2.</w:t>
      </w:r>
      <w:r>
        <w:rPr>
          <w:rFonts w:hint="default" w:ascii="Times New Roman" w:hAnsi="Times New Roman" w:eastAsia="方正仿宋简体" w:cs="Times New Roman"/>
          <w:i w:val="0"/>
          <w:iCs w:val="0"/>
          <w:caps w:val="0"/>
          <w:color w:val="auto"/>
          <w:spacing w:val="0"/>
          <w:sz w:val="28"/>
          <w:szCs w:val="28"/>
          <w:shd w:val="clear" w:fill="FFFFFF"/>
        </w:rPr>
        <w:t>‌广泛的应用领域‌：电池级硫酸锰不仅用于锂电池正极材料的前驱体，还广泛应用于能源、医药、化肥、饲料、食品、造纸、催化剂等行业‌。在能源领域，它主要用于制备高性能电池材料，推动新能源汽车和储能系统的商业化进程；在农业领域，它作为微量元素肥料，促进农作物生长；在环保领域，它用于水处理剂，净化水质</w:t>
      </w:r>
      <w:r>
        <w:rPr>
          <w:rFonts w:hint="default" w:ascii="Times New Roman" w:hAnsi="Times New Roman" w:eastAsia="方正仿宋简体" w:cs="Times New Roman"/>
          <w:i w:val="0"/>
          <w:iCs w:val="0"/>
          <w:caps w:val="0"/>
          <w:color w:val="auto"/>
          <w:spacing w:val="0"/>
          <w:sz w:val="28"/>
          <w:szCs w:val="28"/>
          <w:shd w:val="clear" w:fill="FFFFFF"/>
          <w:lang w:eastAsia="zh-CN"/>
        </w:rPr>
        <w:t>。</w:t>
      </w:r>
    </w:p>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i w:val="0"/>
          <w:iCs w:val="0"/>
          <w:caps w:val="0"/>
          <w:color w:val="auto"/>
          <w:spacing w:val="0"/>
          <w:sz w:val="28"/>
          <w:szCs w:val="28"/>
          <w:shd w:val="clear" w:fill="FFFFFF"/>
        </w:rPr>
      </w:pPr>
      <w:r>
        <w:rPr>
          <w:rFonts w:hint="default" w:ascii="Times New Roman" w:hAnsi="Times New Roman" w:eastAsia="方正仿宋简体" w:cs="Times New Roman"/>
          <w:i w:val="0"/>
          <w:iCs w:val="0"/>
          <w:caps w:val="0"/>
          <w:color w:val="auto"/>
          <w:spacing w:val="0"/>
          <w:sz w:val="28"/>
          <w:szCs w:val="28"/>
          <w:shd w:val="clear" w:fill="FFFFFF"/>
          <w:lang w:val="en-US" w:eastAsia="zh-CN"/>
        </w:rPr>
        <w:t>3.</w:t>
      </w:r>
      <w:r>
        <w:rPr>
          <w:rFonts w:hint="default" w:ascii="Times New Roman" w:hAnsi="Times New Roman" w:eastAsia="方正仿宋简体" w:cs="Times New Roman"/>
          <w:i w:val="0"/>
          <w:iCs w:val="0"/>
          <w:caps w:val="0"/>
          <w:color w:val="auto"/>
          <w:spacing w:val="0"/>
          <w:sz w:val="28"/>
          <w:szCs w:val="28"/>
          <w:shd w:val="clear" w:fill="FFFFFF"/>
        </w:rPr>
        <w:t>‌环保和节能‌：电池级硫酸锰的生产过程几乎不产生废水废渣，符合绿色生产的理念，且能耗低，有助于降低企业的运营成本‌。这种环保特性使得电池级硫酸锰在环保法规日益严格的背景下更具市场竞争力。</w:t>
      </w:r>
    </w:p>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i w:val="0"/>
          <w:iCs w:val="0"/>
          <w:caps w:val="0"/>
          <w:color w:val="auto"/>
          <w:spacing w:val="0"/>
          <w:sz w:val="28"/>
          <w:szCs w:val="28"/>
          <w:shd w:val="clear" w:fill="FFFFFF"/>
        </w:rPr>
      </w:pPr>
      <w:r>
        <w:rPr>
          <w:rFonts w:hint="default" w:ascii="Times New Roman" w:hAnsi="Times New Roman" w:eastAsia="方正仿宋简体" w:cs="Times New Roman"/>
          <w:i w:val="0"/>
          <w:iCs w:val="0"/>
          <w:caps w:val="0"/>
          <w:color w:val="auto"/>
          <w:spacing w:val="0"/>
          <w:sz w:val="28"/>
          <w:szCs w:val="28"/>
          <w:shd w:val="clear" w:fill="FFFFFF"/>
          <w:lang w:val="en-US" w:eastAsia="zh-CN"/>
        </w:rPr>
        <w:t>4.</w:t>
      </w:r>
      <w:r>
        <w:rPr>
          <w:rFonts w:hint="default" w:ascii="Times New Roman" w:hAnsi="Times New Roman" w:eastAsia="方正仿宋简体" w:cs="Times New Roman"/>
          <w:i w:val="0"/>
          <w:iCs w:val="0"/>
          <w:caps w:val="0"/>
          <w:color w:val="auto"/>
          <w:spacing w:val="0"/>
          <w:sz w:val="28"/>
          <w:szCs w:val="28"/>
          <w:shd w:val="clear" w:fill="FFFFFF"/>
        </w:rPr>
        <w:t>‌高效的生产工艺‌：采用离心萃取技术，如CWL-M型离心萃取机，能够高效传质、低物料损失、易于操作与维护，且占地面积小，便于安装和维护‌</w:t>
      </w:r>
      <w:r>
        <w:rPr>
          <w:rFonts w:hint="default" w:ascii="Times New Roman" w:hAnsi="Times New Roman" w:eastAsia="方正仿宋简体" w:cs="Times New Roman"/>
          <w:i w:val="0"/>
          <w:iCs w:val="0"/>
          <w:caps w:val="0"/>
          <w:color w:val="auto"/>
          <w:spacing w:val="0"/>
          <w:sz w:val="28"/>
          <w:szCs w:val="28"/>
          <w:shd w:val="clear" w:fill="FFFFFF"/>
          <w:lang w:eastAsia="zh-CN"/>
        </w:rPr>
        <w:t>。</w:t>
      </w:r>
      <w:r>
        <w:rPr>
          <w:rFonts w:hint="default" w:ascii="Times New Roman" w:hAnsi="Times New Roman" w:eastAsia="方正仿宋简体" w:cs="Times New Roman"/>
          <w:i w:val="0"/>
          <w:iCs w:val="0"/>
          <w:caps w:val="0"/>
          <w:color w:val="auto"/>
          <w:spacing w:val="0"/>
          <w:sz w:val="28"/>
          <w:szCs w:val="28"/>
          <w:shd w:val="clear" w:fill="FFFFFF"/>
        </w:rPr>
        <w:t>这种技术不仅提高了生产效率，还降低了生产成本。</w:t>
      </w:r>
    </w:p>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i w:val="0"/>
          <w:iCs w:val="0"/>
          <w:caps w:val="0"/>
          <w:color w:val="auto"/>
          <w:spacing w:val="0"/>
          <w:sz w:val="28"/>
          <w:szCs w:val="28"/>
          <w:shd w:val="clear" w:fill="FFFFFF"/>
          <w:lang w:eastAsia="zh-CN"/>
        </w:rPr>
      </w:pPr>
      <w:r>
        <w:rPr>
          <w:rFonts w:hint="default" w:ascii="Times New Roman" w:hAnsi="Times New Roman" w:eastAsia="方正仿宋简体" w:cs="Times New Roman"/>
          <w:i w:val="0"/>
          <w:iCs w:val="0"/>
          <w:caps w:val="0"/>
          <w:color w:val="auto"/>
          <w:spacing w:val="0"/>
          <w:sz w:val="28"/>
          <w:szCs w:val="28"/>
          <w:shd w:val="clear" w:fill="FFFFFF"/>
          <w:lang w:val="en-US" w:eastAsia="zh-CN"/>
        </w:rPr>
        <w:t>5.</w:t>
      </w:r>
      <w:r>
        <w:rPr>
          <w:rFonts w:hint="default" w:ascii="Times New Roman" w:hAnsi="Times New Roman" w:eastAsia="方正仿宋简体" w:cs="Times New Roman"/>
          <w:i w:val="0"/>
          <w:iCs w:val="0"/>
          <w:caps w:val="0"/>
          <w:color w:val="auto"/>
          <w:spacing w:val="0"/>
          <w:sz w:val="28"/>
          <w:szCs w:val="28"/>
          <w:shd w:val="clear" w:fill="FFFFFF"/>
        </w:rPr>
        <w:t>‌市场需求增长‌：随着新能源汽车和储能技术的快速发展，对高性能电池材料的需求日益增长，电池级硫酸锰作为替代部分钴元素的理想选择，市场需求持续增长‌。此外，在农业和环保领域的应用也推动了其市场需求。综上所述，电池级硫酸锰项目凭借其高纯度、优异性能、广泛应用领域、环保节能的生产工艺以及持续增长的市场需求，具有显著的优势</w:t>
      </w:r>
      <w:r>
        <w:rPr>
          <w:rFonts w:hint="default" w:ascii="Times New Roman" w:hAnsi="Times New Roman" w:eastAsia="方正仿宋简体" w:cs="Times New Roman"/>
          <w:i w:val="0"/>
          <w:iCs w:val="0"/>
          <w:caps w:val="0"/>
          <w:color w:val="auto"/>
          <w:spacing w:val="0"/>
          <w:sz w:val="28"/>
          <w:szCs w:val="28"/>
          <w:shd w:val="clear" w:fill="FFFFFF"/>
          <w:lang w:eastAsia="zh-CN"/>
        </w:rPr>
        <w:t>。</w:t>
      </w:r>
    </w:p>
    <w:p>
      <w:pPr>
        <w:keepNext w:val="0"/>
        <w:keepLines w:val="0"/>
        <w:pageBreakBefore w:val="0"/>
        <w:kinsoku/>
        <w:wordWrap/>
        <w:overflowPunct/>
        <w:topLinePunct w:val="0"/>
        <w:autoSpaceDE/>
        <w:autoSpaceDN/>
        <w:bidi w:val="0"/>
        <w:adjustRightInd/>
        <w:snapToGrid/>
        <w:spacing w:line="540" w:lineRule="exact"/>
        <w:ind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四、支持政策</w:t>
      </w:r>
    </w:p>
    <w:p>
      <w:pPr>
        <w:widowControl w:val="0"/>
        <w:adjustRightInd w:val="0"/>
        <w:snapToGrid w:val="0"/>
        <w:spacing w:line="540" w:lineRule="exact"/>
        <w:ind w:firstLine="560"/>
        <w:rPr>
          <w:rFonts w:ascii="Times New Roman" w:hAnsi="Times New Roman" w:eastAsia="方正仿宋简体" w:cs="Times New Roman"/>
          <w:color w:val="000000"/>
          <w:kern w:val="0"/>
          <w:sz w:val="28"/>
          <w:szCs w:val="28"/>
        </w:rPr>
      </w:pPr>
      <w:r>
        <w:rPr>
          <w:rFonts w:ascii="Times New Roman" w:hAnsi="Times New Roman" w:eastAsia="方正仿宋简体" w:cs="Times New Roman"/>
          <w:color w:val="000000"/>
          <w:kern w:val="0"/>
          <w:sz w:val="28"/>
          <w:szCs w:val="28"/>
        </w:rPr>
        <w:t>1</w:t>
      </w:r>
      <w:r>
        <w:rPr>
          <w:rFonts w:hint="eastAsia" w:ascii="Times New Roman" w:hAnsi="Times New Roman" w:eastAsia="方正仿宋简体" w:cs="Times New Roman"/>
          <w:color w:val="000000"/>
          <w:kern w:val="0"/>
          <w:sz w:val="28"/>
          <w:szCs w:val="28"/>
        </w:rPr>
        <w:t>.</w:t>
      </w:r>
      <w:r>
        <w:rPr>
          <w:rFonts w:ascii="Times New Roman" w:hAnsi="Times New Roman" w:eastAsia="方正仿宋简体" w:cs="Times New Roman"/>
          <w:color w:val="000000"/>
          <w:kern w:val="0"/>
          <w:sz w:val="28"/>
          <w:szCs w:val="28"/>
        </w:rPr>
        <w:t>《中华人民共和国国民经济和社会发展第十四个五年规划和2035年远景目标纲要》；</w:t>
      </w:r>
    </w:p>
    <w:p>
      <w:pPr>
        <w:widowControl w:val="0"/>
        <w:adjustRightInd w:val="0"/>
        <w:snapToGrid w:val="0"/>
        <w:spacing w:line="540" w:lineRule="exact"/>
        <w:ind w:firstLine="560"/>
        <w:rPr>
          <w:rFonts w:hint="eastAsia"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color w:val="000000"/>
          <w:kern w:val="0"/>
          <w:sz w:val="28"/>
          <w:szCs w:val="28"/>
          <w:lang w:val="en-US" w:eastAsia="zh-CN"/>
        </w:rPr>
        <w:t>2.《“十四五”工业绿色发展规划》；</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3.</w:t>
      </w:r>
      <w:r>
        <w:rPr>
          <w:rFonts w:hint="default" w:ascii="Times New Roman" w:hAnsi="Times New Roman" w:eastAsia="方正仿宋简体" w:cs="Times New Roman"/>
          <w:sz w:val="28"/>
          <w:szCs w:val="28"/>
          <w:lang w:val="en-US" w:eastAsia="zh-CN"/>
        </w:rPr>
        <w:t>《关于扩大战略性新兴产业投资培育壮大新增长点增长极的指导意见》；</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4.</w:t>
      </w:r>
      <w:r>
        <w:rPr>
          <w:rFonts w:hint="default" w:ascii="Times New Roman" w:hAnsi="Times New Roman" w:eastAsia="方正仿宋简体" w:cs="Times New Roman"/>
          <w:sz w:val="28"/>
          <w:szCs w:val="28"/>
          <w:lang w:val="en-US" w:eastAsia="zh-CN"/>
        </w:rPr>
        <w:t>《中共云南省委暨云南省人民政府关于着力推进重点产业发展的若干意见》《云南省国民经济和社会发展第十四个五年规划和二〇三五年远景目标纲要》</w:t>
      </w:r>
      <w:r>
        <w:rPr>
          <w:rFonts w:hint="eastAsia" w:ascii="Times New Roman" w:hAnsi="Times New Roman" w:eastAsia="方正仿宋简体" w:cs="Times New Roman"/>
          <w:sz w:val="28"/>
          <w:szCs w:val="28"/>
          <w:lang w:val="en-US" w:eastAsia="zh-CN"/>
        </w:rPr>
        <w:t>；</w:t>
      </w:r>
    </w:p>
    <w:p>
      <w:pPr>
        <w:keepNext w:val="0"/>
        <w:keepLines w:val="0"/>
        <w:pageBreakBefore w:val="0"/>
        <w:kinsoku/>
        <w:wordWrap/>
        <w:overflowPunct/>
        <w:topLinePunct w:val="0"/>
        <w:autoSpaceDE/>
        <w:autoSpaceDN/>
        <w:bidi w:val="0"/>
        <w:adjustRightInd/>
        <w:snapToGrid/>
        <w:spacing w:line="540" w:lineRule="exact"/>
        <w:ind w:left="0" w:leftChars="0"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5.</w:t>
      </w:r>
      <w:r>
        <w:rPr>
          <w:rFonts w:hint="default" w:ascii="Times New Roman" w:hAnsi="Times New Roman" w:eastAsia="方正仿宋简体" w:cs="Times New Roman"/>
          <w:sz w:val="28"/>
          <w:szCs w:val="28"/>
          <w:lang w:val="en-US" w:eastAsia="zh-CN"/>
        </w:rPr>
        <w:t>《中共楚雄州委楚雄州人民政府关于着力推进产业发展的实施意见》;</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6..</w:t>
      </w:r>
      <w:r>
        <w:rPr>
          <w:rFonts w:hint="default" w:ascii="Times New Roman" w:hAnsi="Times New Roman" w:eastAsia="方正仿宋简体" w:cs="Times New Roman"/>
          <w:sz w:val="28"/>
          <w:szCs w:val="28"/>
          <w:lang w:val="en-US" w:eastAsia="zh-CN"/>
        </w:rPr>
        <w:t>《楚雄彝族自治州国民经济和社会发展第十四个五年规划和二〇三五年远景目标纲要》:</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eastAsia" w:ascii="Times New Roman" w:hAnsi="Times New Roman" w:eastAsia="方正仿宋简体" w:cs="Times New Roman"/>
          <w:sz w:val="28"/>
          <w:szCs w:val="28"/>
          <w:lang w:val="en-US" w:eastAsia="zh-CN"/>
        </w:rPr>
      </w:pPr>
      <w:r>
        <w:rPr>
          <w:rFonts w:hint="eastAsia" w:ascii="Times New Roman" w:hAnsi="Times New Roman" w:eastAsia="方正黑体简体" w:cs="Times New Roman"/>
          <w:sz w:val="28"/>
          <w:szCs w:val="28"/>
          <w:lang w:val="en-US" w:eastAsia="zh-CN"/>
        </w:rPr>
        <w:t>7.</w:t>
      </w:r>
      <w:r>
        <w:rPr>
          <w:rFonts w:hint="default" w:ascii="Times New Roman" w:hAnsi="Times New Roman" w:eastAsia="方正仿宋简体" w:cs="Times New Roman"/>
          <w:sz w:val="28"/>
          <w:szCs w:val="28"/>
          <w:lang w:val="en-US" w:eastAsia="zh-CN"/>
        </w:rPr>
        <w:t>《禄丰市人民政府关于贯彻落实扎实稳住经济一揽子政策措施的意见》</w:t>
      </w:r>
      <w:r>
        <w:rPr>
          <w:rFonts w:hint="eastAsia" w:ascii="Times New Roman" w:hAnsi="Times New Roman" w:eastAsia="方正仿宋简体" w:cs="Times New Roman"/>
          <w:sz w:val="28"/>
          <w:szCs w:val="28"/>
          <w:lang w:val="en-US" w:eastAsia="zh-CN"/>
        </w:rPr>
        <w:t>；</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8.</w:t>
      </w:r>
      <w:r>
        <w:rPr>
          <w:rFonts w:hint="default" w:ascii="Times New Roman" w:hAnsi="Times New Roman" w:eastAsia="方正仿宋简体" w:cs="Times New Roman"/>
          <w:sz w:val="28"/>
          <w:szCs w:val="28"/>
          <w:lang w:val="en-US" w:eastAsia="zh-CN"/>
        </w:rPr>
        <w:t>《关于扩大战略性新兴产业投资培育壮大新增长点增长极的指导意见》；</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9.</w:t>
      </w:r>
      <w:r>
        <w:rPr>
          <w:rFonts w:hint="default" w:ascii="Times New Roman" w:hAnsi="Times New Roman" w:eastAsia="方正仿宋简体" w:cs="Times New Roman"/>
          <w:sz w:val="28"/>
          <w:szCs w:val="28"/>
          <w:lang w:val="en-US" w:eastAsia="zh-CN"/>
        </w:rPr>
        <w:t>《中共云南省委暨云南省人民政府关于着力推进重点产业发展的若干意见》</w:t>
      </w:r>
      <w:r>
        <w:rPr>
          <w:rFonts w:hint="eastAsia" w:ascii="Times New Roman" w:hAnsi="Times New Roman" w:eastAsia="方正仿宋简体" w:cs="Times New Roman"/>
          <w:sz w:val="28"/>
          <w:szCs w:val="28"/>
          <w:lang w:val="en-US" w:eastAsia="zh-CN"/>
        </w:rPr>
        <w:t>；</w:t>
      </w:r>
    </w:p>
    <w:p>
      <w:pPr>
        <w:keepNext w:val="0"/>
        <w:keepLines w:val="0"/>
        <w:pageBreakBefore w:val="0"/>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10.</w:t>
      </w:r>
      <w:r>
        <w:rPr>
          <w:rFonts w:hint="default" w:ascii="Times New Roman" w:hAnsi="Times New Roman" w:eastAsia="方正仿宋简体" w:cs="Times New Roman"/>
          <w:sz w:val="28"/>
          <w:szCs w:val="28"/>
          <w:lang w:val="en-US" w:eastAsia="zh-CN"/>
        </w:rPr>
        <w:t>《云南省国民经济和社会发展第十四个五年规划和二〇三五年远景目标纲要》</w:t>
      </w:r>
    </w:p>
    <w:p>
      <w:pPr>
        <w:keepNext w:val="0"/>
        <w:keepLines w:val="0"/>
        <w:pageBreakBefore w:val="0"/>
        <w:kinsoku/>
        <w:wordWrap/>
        <w:overflowPunct/>
        <w:topLinePunct w:val="0"/>
        <w:autoSpaceDE/>
        <w:autoSpaceDN/>
        <w:bidi w:val="0"/>
        <w:adjustRightInd/>
        <w:snapToGrid/>
        <w:spacing w:line="540" w:lineRule="exact"/>
        <w:ind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五、要素保障</w:t>
      </w:r>
    </w:p>
    <w:p>
      <w:pPr>
        <w:keepNext w:val="0"/>
        <w:keepLines w:val="0"/>
        <w:pageBreakBefore w:val="0"/>
        <w:widowControl/>
        <w:kinsoku/>
        <w:wordWrap/>
        <w:overflowPunct/>
        <w:topLinePunct w:val="0"/>
        <w:autoSpaceDE/>
        <w:autoSpaceDN/>
        <w:bidi w:val="0"/>
        <w:adjustRightInd/>
        <w:snapToGrid/>
        <w:spacing w:line="592" w:lineRule="exact"/>
        <w:ind w:firstLine="562" w:firstLineChars="200"/>
        <w:jc w:val="left"/>
        <w:textAlignment w:val="auto"/>
        <w:rPr>
          <w:rFonts w:hint="default" w:ascii="Times New Roman" w:hAnsi="Times New Roman" w:eastAsia="方正仿宋简体" w:cs="Times New Roman"/>
          <w:kern w:val="0"/>
          <w:sz w:val="28"/>
          <w:szCs w:val="28"/>
        </w:rPr>
      </w:pPr>
      <w:r>
        <w:rPr>
          <w:rFonts w:hint="default" w:ascii="Times New Roman" w:hAnsi="Times New Roman" w:eastAsia="方正仿宋简体" w:cs="Times New Roman"/>
          <w:b/>
          <w:bCs/>
          <w:kern w:val="0"/>
          <w:sz w:val="28"/>
          <w:szCs w:val="28"/>
        </w:rPr>
        <w:t>用水</w:t>
      </w:r>
      <w:r>
        <w:rPr>
          <w:rFonts w:hint="default" w:ascii="Times New Roman" w:hAnsi="Times New Roman" w:eastAsia="方正仿宋简体" w:cs="Times New Roman"/>
          <w:kern w:val="0"/>
          <w:sz w:val="28"/>
          <w:szCs w:val="28"/>
        </w:rPr>
        <w:t>:金山镇2023年蓄水计划任务1110万立方，截止2023年10月6日，有蓄水836万方，占计划75%，其中小一型6件计划460万方，现有287万方，占计划62%，小二型30件，计划414万方，现有339万方，占计划82%，小坝塘158件，计划236万方，现有210万方，占计划89%。</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3"/>
        <w:gridCol w:w="2203"/>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2"/>
              <w:spacing w:line="300" w:lineRule="exact"/>
              <w:ind w:firstLine="0" w:firstLineChars="0"/>
              <w:jc w:val="center"/>
              <w:rPr>
                <w:rFonts w:ascii="方正黑体简体" w:hAnsi="方正黑体简体" w:eastAsia="方正黑体简体" w:cs="方正黑体简体"/>
                <w:sz w:val="24"/>
                <w:szCs w:val="24"/>
                <w:lang w:eastAsia="zh-CN"/>
              </w:rPr>
            </w:pPr>
            <w:r>
              <w:rPr>
                <w:rFonts w:hint="eastAsia" w:ascii="方正黑体简体" w:hAnsi="方正黑体简体" w:eastAsia="方正黑体简体" w:cs="方正黑体简体"/>
                <w:sz w:val="24"/>
                <w:szCs w:val="24"/>
                <w:lang w:eastAsia="zh-CN"/>
              </w:rPr>
              <w:t>类别</w:t>
            </w:r>
          </w:p>
        </w:tc>
        <w:tc>
          <w:tcPr>
            <w:tcW w:w="3630" w:type="dxa"/>
            <w:noWrap/>
            <w:vAlign w:val="center"/>
          </w:tcPr>
          <w:p>
            <w:pPr>
              <w:pStyle w:val="2"/>
              <w:spacing w:line="300" w:lineRule="exact"/>
              <w:ind w:firstLine="0" w:firstLineChars="0"/>
              <w:jc w:val="center"/>
              <w:rPr>
                <w:rFonts w:ascii="方正黑体简体" w:hAnsi="方正黑体简体" w:eastAsia="方正黑体简体" w:cs="方正黑体简体"/>
                <w:sz w:val="24"/>
                <w:szCs w:val="24"/>
                <w:lang w:eastAsia="zh-CN"/>
              </w:rPr>
            </w:pPr>
            <w:r>
              <w:rPr>
                <w:rFonts w:hint="eastAsia" w:ascii="方正黑体简体" w:hAnsi="方正黑体简体" w:eastAsia="方正黑体简体" w:cs="方正黑体简体"/>
                <w:sz w:val="24"/>
                <w:szCs w:val="24"/>
                <w:lang w:eastAsia="zh-CN"/>
              </w:rPr>
              <w:t>措施供水到户价格</w:t>
            </w:r>
          </w:p>
        </w:tc>
        <w:tc>
          <w:tcPr>
            <w:tcW w:w="7379" w:type="dxa"/>
            <w:noWrap/>
            <w:vAlign w:val="center"/>
          </w:tcPr>
          <w:p>
            <w:pPr>
              <w:pStyle w:val="2"/>
              <w:spacing w:line="300" w:lineRule="exact"/>
              <w:ind w:firstLine="0" w:firstLineChars="0"/>
              <w:jc w:val="center"/>
              <w:rPr>
                <w:rFonts w:ascii="方正黑体简体" w:hAnsi="方正黑体简体" w:eastAsia="方正黑体简体" w:cs="方正黑体简体"/>
                <w:sz w:val="24"/>
                <w:szCs w:val="24"/>
                <w:lang w:eastAsia="zh-CN"/>
              </w:rPr>
            </w:pPr>
            <w:r>
              <w:rPr>
                <w:rFonts w:hint="eastAsia" w:ascii="方正黑体简体" w:hAnsi="方正黑体简体" w:eastAsia="方正黑体简体" w:cs="方正黑体简体"/>
                <w:sz w:val="24"/>
                <w:szCs w:val="24"/>
                <w:lang w:eastAsia="zh-CN"/>
              </w:rPr>
              <w:t>执行范围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居民生活用水</w:t>
            </w:r>
          </w:p>
        </w:tc>
        <w:tc>
          <w:tcPr>
            <w:tcW w:w="3630"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3.8元/m³</w:t>
            </w:r>
          </w:p>
        </w:tc>
        <w:tc>
          <w:tcPr>
            <w:tcW w:w="7379"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hint="eastAsia" w:ascii="Times New Roman" w:hAnsi="Times New Roman" w:eastAsia="方正仿宋简体" w:cs="Times New Roman"/>
                <w:sz w:val="24"/>
                <w:szCs w:val="24"/>
                <w:lang w:eastAsia="zh-CN"/>
              </w:rPr>
              <w:t>包括</w:t>
            </w:r>
            <w:r>
              <w:rPr>
                <w:rFonts w:ascii="Times New Roman" w:hAnsi="Times New Roman" w:eastAsia="方正仿宋简体" w:cs="Times New Roman"/>
                <w:sz w:val="24"/>
                <w:szCs w:val="24"/>
                <w:lang w:eastAsia="zh-CN"/>
              </w:rPr>
              <w:t>城乡居民和社会福利机构用水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非居民用水</w:t>
            </w:r>
          </w:p>
        </w:tc>
        <w:tc>
          <w:tcPr>
            <w:tcW w:w="3630"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5元/m³</w:t>
            </w:r>
          </w:p>
        </w:tc>
        <w:tc>
          <w:tcPr>
            <w:tcW w:w="7379"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包括工业、行政单位、商业服务业等行业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特种行业用水</w:t>
            </w:r>
          </w:p>
        </w:tc>
        <w:tc>
          <w:tcPr>
            <w:tcW w:w="3630"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8元/m³</w:t>
            </w:r>
          </w:p>
        </w:tc>
        <w:tc>
          <w:tcPr>
            <w:tcW w:w="7379" w:type="dxa"/>
            <w:noWrap/>
            <w:vAlign w:val="center"/>
          </w:tcPr>
          <w:p>
            <w:pPr>
              <w:pStyle w:val="2"/>
              <w:spacing w:line="300" w:lineRule="exact"/>
              <w:ind w:firstLine="0" w:firstLineChars="0"/>
              <w:jc w:val="center"/>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包括经营面积100平方米以上的餐饮业、宾馆、酒楼、休闲会所、酿酒、饮水制造、烟草加工等行业</w:t>
            </w:r>
          </w:p>
        </w:tc>
      </w:tr>
    </w:tbl>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592" w:lineRule="exact"/>
        <w:ind w:firstLine="562" w:firstLineChars="200"/>
        <w:jc w:val="left"/>
        <w:textAlignment w:val="auto"/>
        <w:rPr>
          <w:rFonts w:hint="default" w:ascii="Times New Roman" w:hAnsi="Times New Roman" w:eastAsia="方正仿宋简体" w:cs="Times New Roman"/>
          <w:kern w:val="0"/>
          <w:sz w:val="28"/>
          <w:szCs w:val="28"/>
        </w:rPr>
      </w:pPr>
      <w:r>
        <w:rPr>
          <w:rFonts w:hint="default" w:ascii="Times New Roman" w:hAnsi="Times New Roman" w:eastAsia="方正仿宋简体" w:cs="Times New Roman"/>
          <w:b/>
          <w:bCs/>
          <w:kern w:val="0"/>
          <w:sz w:val="28"/>
          <w:szCs w:val="28"/>
        </w:rPr>
        <w:t>用电</w:t>
      </w:r>
      <w:r>
        <w:rPr>
          <w:rFonts w:hint="default" w:ascii="Times New Roman" w:hAnsi="Times New Roman" w:eastAsia="方正仿宋简体" w:cs="Times New Roman"/>
          <w:kern w:val="0"/>
          <w:sz w:val="28"/>
          <w:szCs w:val="28"/>
        </w:rPr>
        <w:t>:金山片区将离核心区5公里的腰站220KV变电站作为生产主要供电电源，20公里500KV和平变电站作为生产备用电源，可完全满足产业园用电需求。</w:t>
      </w:r>
    </w:p>
    <w:p>
      <w:pPr>
        <w:keepNext w:val="0"/>
        <w:keepLines w:val="0"/>
        <w:pageBreakBefore w:val="0"/>
        <w:widowControl/>
        <w:kinsoku/>
        <w:wordWrap/>
        <w:overflowPunct/>
        <w:topLinePunct w:val="0"/>
        <w:autoSpaceDE/>
        <w:autoSpaceDN/>
        <w:bidi w:val="0"/>
        <w:adjustRightInd/>
        <w:snapToGrid/>
        <w:spacing w:line="592" w:lineRule="exact"/>
        <w:ind w:firstLine="560" w:firstLineChars="200"/>
        <w:jc w:val="left"/>
        <w:textAlignment w:val="auto"/>
        <w:rPr>
          <w:rFonts w:hint="default" w:ascii="Times New Roman" w:hAnsi="Times New Roman" w:eastAsia="方正仿宋简体" w:cs="Times New Roman"/>
          <w:kern w:val="0"/>
          <w:sz w:val="28"/>
          <w:szCs w:val="28"/>
        </w:rPr>
      </w:pPr>
      <w:r>
        <w:rPr>
          <w:rFonts w:hint="eastAsia" w:ascii="方正仿宋简体" w:hAnsi="方正仿宋简体" w:eastAsia="方正仿宋简体" w:cs="方正仿宋简体"/>
          <w:sz w:val="28"/>
          <w:szCs w:val="28"/>
          <w:lang w:val="en-US"/>
        </w:rPr>
        <w:drawing>
          <wp:anchor distT="0" distB="0" distL="114300" distR="114300" simplePos="0" relativeHeight="251660288" behindDoc="0" locked="0" layoutInCell="1" allowOverlap="1">
            <wp:simplePos x="0" y="0"/>
            <wp:positionH relativeFrom="column">
              <wp:posOffset>-120650</wp:posOffset>
            </wp:positionH>
            <wp:positionV relativeFrom="paragraph">
              <wp:posOffset>200025</wp:posOffset>
            </wp:positionV>
            <wp:extent cx="5248910" cy="2701925"/>
            <wp:effectExtent l="0" t="0" r="8890" b="3175"/>
            <wp:wrapSquare wrapText="bothSides"/>
            <wp:docPr id="8" name="图片 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
                    <pic:cNvPicPr>
                      <a:picLocks noChangeAspect="1"/>
                    </pic:cNvPicPr>
                  </pic:nvPicPr>
                  <pic:blipFill>
                    <a:blip r:embed="rId7"/>
                    <a:stretch>
                      <a:fillRect/>
                    </a:stretch>
                  </pic:blipFill>
                  <pic:spPr>
                    <a:xfrm>
                      <a:off x="0" y="0"/>
                      <a:ext cx="5248910" cy="2701925"/>
                    </a:xfrm>
                    <a:prstGeom prst="rect">
                      <a:avLst/>
                    </a:prstGeom>
                  </pic:spPr>
                </pic:pic>
              </a:graphicData>
            </a:graphic>
          </wp:anchor>
        </w:drawing>
      </w:r>
      <w:r>
        <w:rPr>
          <w:rFonts w:hint="default" w:ascii="Times New Roman" w:hAnsi="Times New Roman" w:eastAsia="方正仿宋简体" w:cs="Times New Roman"/>
          <w:b/>
          <w:bCs/>
          <w:kern w:val="0"/>
          <w:sz w:val="28"/>
          <w:szCs w:val="28"/>
        </w:rPr>
        <w:t>用气</w:t>
      </w:r>
      <w:r>
        <w:rPr>
          <w:rFonts w:hint="default" w:ascii="Times New Roman" w:hAnsi="Times New Roman" w:eastAsia="方正仿宋简体" w:cs="Times New Roman"/>
          <w:kern w:val="0"/>
          <w:sz w:val="28"/>
          <w:szCs w:val="28"/>
        </w:rPr>
        <w:t>:金山片区距离金山中缅油气管道支线天然气门气站约6公里，年供气量可达30万立方米，能最大限度地满足项目工业及生活用天然气需求及供给。</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noWrap/>
          </w:tcPr>
          <w:p>
            <w:pPr>
              <w:pStyle w:val="2"/>
              <w:ind w:firstLine="0" w:firstLineChars="0"/>
              <w:jc w:val="center"/>
              <w:rPr>
                <w:lang w:eastAsia="zh-CN"/>
              </w:rPr>
            </w:pPr>
            <w:r>
              <w:rPr>
                <w:rFonts w:hint="eastAsia" w:ascii="方正黑体简体" w:hAnsi="方正黑体简体" w:eastAsia="方正黑体简体" w:cs="方正黑体简体"/>
                <w:lang w:eastAsia="zh-CN"/>
              </w:rPr>
              <w:t>居民</w:t>
            </w:r>
          </w:p>
        </w:tc>
        <w:tc>
          <w:tcPr>
            <w:tcW w:w="3543" w:type="dxa"/>
            <w:noWrap/>
          </w:tcPr>
          <w:p>
            <w:pPr>
              <w:pStyle w:val="2"/>
              <w:ind w:firstLine="0" w:firstLineChars="0"/>
              <w:jc w:val="center"/>
              <w:rPr>
                <w:lang w:eastAsia="zh-CN"/>
              </w:rPr>
            </w:pPr>
            <w:r>
              <w:rPr>
                <w:rFonts w:ascii="Times New Roman" w:hAnsi="Times New Roman" w:eastAsia="方正仿宋简体" w:cs="Times New Roman"/>
                <w:lang w:eastAsia="zh-CN"/>
              </w:rPr>
              <w:t>2.92元/m³</w:t>
            </w:r>
          </w:p>
        </w:tc>
        <w:tc>
          <w:tcPr>
            <w:tcW w:w="3544" w:type="dxa"/>
            <w:noWrap/>
          </w:tcPr>
          <w:p>
            <w:pPr>
              <w:pStyle w:val="2"/>
              <w:ind w:firstLine="0" w:firstLineChars="0"/>
              <w:jc w:val="center"/>
              <w:rPr>
                <w:lang w:eastAsia="zh-CN"/>
              </w:rPr>
            </w:pPr>
            <w:r>
              <w:rPr>
                <w:rFonts w:hint="eastAsia" w:ascii="方正黑体简体" w:hAnsi="方正黑体简体" w:eastAsia="方正黑体简体" w:cs="方正黑体简体"/>
                <w:lang w:eastAsia="zh-CN"/>
              </w:rPr>
              <w:t>非居民</w:t>
            </w:r>
          </w:p>
        </w:tc>
        <w:tc>
          <w:tcPr>
            <w:tcW w:w="3544" w:type="dxa"/>
            <w:noWrap/>
          </w:tcPr>
          <w:p>
            <w:pPr>
              <w:pStyle w:val="2"/>
              <w:ind w:firstLine="0" w:firstLineChars="0"/>
              <w:jc w:val="center"/>
              <w:rPr>
                <w:lang w:eastAsia="zh-CN"/>
              </w:rPr>
            </w:pPr>
            <w:r>
              <w:rPr>
                <w:rFonts w:ascii="Times New Roman" w:hAnsi="Times New Roman" w:eastAsia="方正仿宋简体" w:cs="Times New Roman"/>
                <w:lang w:eastAsia="zh-CN"/>
              </w:rPr>
              <w:t>2.53元/m³</w:t>
            </w:r>
          </w:p>
        </w:tc>
      </w:tr>
    </w:tbl>
    <w:p>
      <w:pPr>
        <w:keepNext w:val="0"/>
        <w:keepLines w:val="0"/>
        <w:pageBreakBefore w:val="0"/>
        <w:kinsoku/>
        <w:wordWrap/>
        <w:overflowPunct/>
        <w:topLinePunct w:val="0"/>
        <w:autoSpaceDE/>
        <w:autoSpaceDN/>
        <w:bidi w:val="0"/>
        <w:adjustRightInd/>
        <w:snapToGrid/>
        <w:spacing w:line="540" w:lineRule="exact"/>
        <w:ind w:firstLine="0" w:firstLineChars="0"/>
        <w:jc w:val="left"/>
        <w:textAlignment w:val="auto"/>
        <w:rPr>
          <w:rFonts w:ascii="Times New Roman" w:hAnsi="Times New Roman" w:eastAsia="方正黑体简体" w:cs="Times New Roman"/>
          <w:kern w:val="0"/>
          <w:sz w:val="28"/>
          <w:szCs w:val="28"/>
        </w:rPr>
      </w:pPr>
    </w:p>
    <w:p>
      <w:pPr>
        <w:keepNext w:val="0"/>
        <w:keepLines w:val="0"/>
        <w:pageBreakBefore w:val="0"/>
        <w:kinsoku/>
        <w:wordWrap/>
        <w:overflowPunct/>
        <w:topLinePunct w:val="0"/>
        <w:autoSpaceDE/>
        <w:autoSpaceDN/>
        <w:bidi w:val="0"/>
        <w:adjustRightInd/>
        <w:snapToGrid/>
        <w:spacing w:line="540" w:lineRule="exact"/>
        <w:ind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六、联系方式</w:t>
      </w:r>
    </w:p>
    <w:p>
      <w:pPr>
        <w:spacing w:line="540" w:lineRule="exact"/>
        <w:ind w:firstLine="562"/>
        <w:rPr>
          <w:rFonts w:ascii="Times New Roman" w:hAnsi="Times New Roman" w:eastAsia="方正仿宋简体" w:cs="Times New Roman"/>
          <w:sz w:val="28"/>
          <w:szCs w:val="28"/>
        </w:rPr>
      </w:pPr>
      <w:r>
        <w:rPr>
          <w:rFonts w:ascii="Times New Roman" w:hAnsi="Times New Roman" w:eastAsia="方正仿宋简体" w:cs="Times New Roman"/>
          <w:b/>
          <w:bCs/>
          <w:sz w:val="28"/>
          <w:szCs w:val="28"/>
        </w:rPr>
        <w:t>联系单位：</w:t>
      </w:r>
      <w:r>
        <w:rPr>
          <w:rFonts w:ascii="Times New Roman" w:hAnsi="Times New Roman" w:eastAsia="方正仿宋简体" w:cs="Times New Roman"/>
          <w:sz w:val="28"/>
          <w:szCs w:val="28"/>
        </w:rPr>
        <w:t>禄丰市投资促进局</w:t>
      </w:r>
    </w:p>
    <w:p>
      <w:pPr>
        <w:spacing w:line="540" w:lineRule="exact"/>
        <w:ind w:firstLine="562"/>
        <w:rPr>
          <w:rFonts w:ascii="Times New Roman" w:hAnsi="Times New Roman" w:eastAsia="方正仿宋简体" w:cs="Times New Roman"/>
          <w:sz w:val="28"/>
          <w:szCs w:val="28"/>
        </w:rPr>
      </w:pPr>
      <w:r>
        <w:rPr>
          <w:rFonts w:ascii="Times New Roman" w:hAnsi="Times New Roman" w:eastAsia="方正仿宋简体" w:cs="Times New Roman"/>
          <w:b/>
          <w:bCs/>
          <w:sz w:val="28"/>
          <w:szCs w:val="28"/>
        </w:rPr>
        <w:t>项目联系人：</w:t>
      </w:r>
      <w:r>
        <w:rPr>
          <w:rFonts w:ascii="Times New Roman" w:hAnsi="Times New Roman" w:eastAsia="方正仿宋简体" w:cs="Times New Roman"/>
          <w:sz w:val="28"/>
          <w:szCs w:val="28"/>
        </w:rPr>
        <w:t>吴晓明</w:t>
      </w:r>
      <w:r>
        <w:rPr>
          <w:rFonts w:hint="eastAsia" w:ascii="Times New Roman" w:hAnsi="Times New Roman" w:eastAsia="方正仿宋简体" w:cs="Times New Roman"/>
          <w:sz w:val="28"/>
          <w:szCs w:val="28"/>
          <w:lang w:val="en-US" w:eastAsia="zh-CN"/>
        </w:rPr>
        <w:t xml:space="preserve">  </w:t>
      </w:r>
      <w:r>
        <w:rPr>
          <w:rFonts w:ascii="Times New Roman" w:hAnsi="Times New Roman" w:eastAsia="方正仿宋简体" w:cs="Times New Roman"/>
          <w:b/>
          <w:bCs/>
          <w:sz w:val="28"/>
          <w:szCs w:val="28"/>
        </w:rPr>
        <w:t>联系电话：</w:t>
      </w:r>
      <w:r>
        <w:rPr>
          <w:rFonts w:ascii="Times New Roman" w:hAnsi="Times New Roman" w:eastAsia="方正仿宋简体" w:cs="Times New Roman"/>
          <w:sz w:val="28"/>
          <w:szCs w:val="28"/>
        </w:rPr>
        <w:t>13577837133</w:t>
      </w:r>
    </w:p>
    <w:p>
      <w:pPr>
        <w:spacing w:line="540" w:lineRule="exact"/>
        <w:ind w:firstLine="562"/>
        <w:rPr>
          <w:rStyle w:val="6"/>
          <w:rFonts w:ascii="Times New Roman" w:hAnsi="Times New Roman" w:eastAsia="方正仿宋简体" w:cs="Times New Roman"/>
          <w:sz w:val="28"/>
          <w:szCs w:val="28"/>
        </w:rPr>
      </w:pPr>
      <w:r>
        <w:rPr>
          <w:rFonts w:ascii="Times New Roman" w:hAnsi="Times New Roman" w:eastAsia="方正仿宋简体" w:cs="Times New Roman"/>
          <w:b/>
          <w:bCs/>
          <w:sz w:val="28"/>
          <w:szCs w:val="28"/>
        </w:rPr>
        <w:t>传真：</w:t>
      </w:r>
      <w:r>
        <w:rPr>
          <w:rFonts w:ascii="Times New Roman" w:hAnsi="Times New Roman" w:eastAsia="方正仿宋简体" w:cs="Times New Roman"/>
          <w:sz w:val="28"/>
          <w:szCs w:val="28"/>
        </w:rPr>
        <w:t>0878-4121578</w:t>
      </w:r>
      <w:r>
        <w:rPr>
          <w:rFonts w:hint="eastAsia" w:ascii="Times New Roman" w:hAnsi="Times New Roman" w:eastAsia="方正仿宋简体" w:cs="Times New Roman"/>
          <w:sz w:val="28"/>
          <w:szCs w:val="28"/>
          <w:lang w:val="en-US" w:eastAsia="zh-CN"/>
        </w:rPr>
        <w:t xml:space="preserve">   </w:t>
      </w:r>
      <w:r>
        <w:rPr>
          <w:rFonts w:ascii="Times New Roman" w:hAnsi="Times New Roman" w:eastAsia="方正仿宋简体" w:cs="Times New Roman"/>
          <w:b/>
          <w:bCs/>
          <w:sz w:val="28"/>
          <w:szCs w:val="28"/>
        </w:rPr>
        <w:t>电子邮箱：</w:t>
      </w:r>
      <w:r>
        <w:fldChar w:fldCharType="begin"/>
      </w:r>
      <w:r>
        <w:instrText xml:space="preserve"> HYPERLINK "mailto:LFXZSJ@163.COM" </w:instrText>
      </w:r>
      <w:r>
        <w:fldChar w:fldCharType="separate"/>
      </w:r>
      <w:r>
        <w:rPr>
          <w:rStyle w:val="6"/>
          <w:rFonts w:ascii="Times New Roman" w:hAnsi="Times New Roman" w:eastAsia="方正仿宋简体" w:cs="Times New Roman"/>
          <w:sz w:val="28"/>
          <w:szCs w:val="28"/>
        </w:rPr>
        <w:t>lfxzsj@163.com</w:t>
      </w:r>
      <w:r>
        <w:rPr>
          <w:rStyle w:val="6"/>
          <w:rFonts w:ascii="Times New Roman" w:hAnsi="Times New Roman" w:eastAsia="方正仿宋简体" w:cs="Times New Roman"/>
          <w:sz w:val="28"/>
          <w:szCs w:val="28"/>
        </w:rPr>
        <w:fldChar w:fldCharType="end"/>
      </w:r>
    </w:p>
    <w:p/>
    <w:sectPr>
      <w:footerReference r:id="rId5" w:type="default"/>
      <w:pgSz w:w="11906" w:h="16838"/>
      <w:pgMar w:top="1440" w:right="1800" w:bottom="1440" w:left="1800"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AB0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uppressAutoHyphens/>
      <w:ind w:firstLine="200" w:firstLineChars="200"/>
    </w:pPr>
    <w:rPr>
      <w:rFonts w:ascii="宋体" w:hAnsi="宋体" w:cs="宋体"/>
      <w:kern w:val="1"/>
      <w:sz w:val="28"/>
      <w:szCs w:val="28"/>
      <w:lang w:eastAsia="ar-SA"/>
    </w:rPr>
  </w:style>
  <w:style w:type="paragraph" w:styleId="3">
    <w:name w:val="footer"/>
    <w:basedOn w:val="1"/>
    <w:qFormat/>
    <w:uiPriority w:val="0"/>
    <w:pPr>
      <w:tabs>
        <w:tab w:val="center" w:pos="4153"/>
        <w:tab w:val="right" w:pos="8306"/>
      </w:tabs>
      <w:snapToGrid w:val="0"/>
      <w:jc w:val="left"/>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2025-01-16T03:46:18Z</dcterms:created>
  <dc:creator>cx311</dc:creator>
  <cp:lastModifiedBy>孔民</cp:lastModifiedBy>
  <dcterms:modified xsi:type="dcterms:W3CDTF">2025-01-16T03:46:41Z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F47F24F1A9F843CD96D0489306359362</vt:lpwstr>
  </property>
</Properties>
</file>