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2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全国和谐劳动关系创建示范</w:t>
      </w:r>
      <w:r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eastAsia="zh-CN" w:bidi="ar"/>
        </w:rPr>
        <w:t>工业园区</w:t>
      </w: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40" w:lineRule="exact"/>
        <w:jc w:val="center"/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81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"/>
        <w:gridCol w:w="7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中关村科学城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北京经济技术开发区嘉捷科技园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天津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天津西青经济技术开发区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唐山高新技术产业开发区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石家庄高新技术产业开发区科技创业园区金石工业园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山西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晋城经济技术开发区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定襄经济技术开发区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内蒙古包头装备制造产业园区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辽宁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大连湾临海装备制造业聚集区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盘锦高新技术产业开发区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长春绿园经济开发区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吉林延吉国际空港经济开发区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黑龙江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黑龙江五常经济开发区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同济大学国家大学科技园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上海国际汽车城零部件配套工业园区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南京徐庄高新技术产业开发区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常州国家高新技术产业开发区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浙江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杭州湾信息港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德清县钟管镇南舍工业园区中特和谐园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安徽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合肥新站高新技术产业开发区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芜湖高新技术产业开发区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福州市软件园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中国（福建）自由贸易试验区厦门片区管理委员会海沧园区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江西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南昌小蓝经济技术开发区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赣州经济技术开发区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东营高新技术产业开发区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曲阜经济开发区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睢县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先进制造业开发区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淮滨县先进制造业开发区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华中科技大学国家大学科技园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襄阳蓝光创新创业孵化园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湘潭经济技术开发区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湖南沅江高新技术产业园区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广州花都（国际）汽车产业基地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深圳市生物医药创新产业园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highlight w:val="none"/>
              </w:rPr>
              <w:t>惠州大亚湾经济技术开发区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广西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壮族自治区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柳州高新技术产业开发区（柳东新区）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三亚崖州湾科技城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重庆两江新区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重庆经济技术开发区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成都市新都高新技术产业园区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宜宾临港经济技术开发区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贵州金沙经济开发区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云南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临沧工业园区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西安航空科技企业孵化器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甘肃永昌工业园区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青海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青海国家高新技术产业开发区生物科技产业园区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宁夏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回族自治区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highlight w:val="none"/>
                <w:lang w:val="en-US" w:eastAsia="zh-CN" w:bidi="ar"/>
              </w:rPr>
              <w:t>宁东能源化工基地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eastAsia="zh-CN" w:bidi="ar"/>
              </w:rPr>
              <w:t>维吾尔自治区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阿克苏纺织工业城（开发区）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lang w:eastAsia="zh-CN"/>
              </w:rPr>
              <w:t>石河子经济技术开发区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68A43"/>
    <w:rsid w:val="4DE68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unhideWhenUsed/>
    <w:qFormat/>
    <w:uiPriority w:val="99"/>
    <w:pPr>
      <w:ind w:left="336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2022-09-19T14:31:00Z</dcterms:created>
  <dc:creator>admin</dc:creator>
  <cp:lastModifiedBy>admin</cp:lastModifiedBy>
  <dcterms:modified xsi:type="dcterms:W3CDTF">2022-09-19T14:32:06Z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